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8B" w:rsidRPr="00B6008B" w:rsidRDefault="00B6008B" w:rsidP="00B6008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EG"/>
        </w:rPr>
      </w:pPr>
      <w:r w:rsidRPr="00B6008B">
        <w:rPr>
          <w:rFonts w:asciiTheme="majorBidi" w:hAnsiTheme="majorBidi" w:cstheme="majorBidi"/>
          <w:b/>
          <w:bCs/>
          <w:sz w:val="48"/>
          <w:szCs w:val="48"/>
          <w:lang w:bidi="ar-EG"/>
        </w:rPr>
        <w:t>Conclusion</w:t>
      </w:r>
    </w:p>
    <w:p w:rsidR="00B6008B" w:rsidRDefault="00B6008B" w:rsidP="00B6008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B65819" w:rsidRPr="00B6008B" w:rsidRDefault="00B6008B" w:rsidP="00B6008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Our </w:t>
      </w:r>
      <w:r w:rsidR="00881117">
        <w:rPr>
          <w:rFonts w:asciiTheme="majorBidi" w:hAnsiTheme="majorBidi" w:cstheme="majorBidi"/>
          <w:sz w:val="28"/>
          <w:szCs w:val="28"/>
          <w:lang w:bidi="ar-EG"/>
        </w:rPr>
        <w:t>study confirms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the potential role of </w:t>
      </w:r>
      <w:r w:rsidR="00881117">
        <w:rPr>
          <w:rFonts w:asciiTheme="majorBidi" w:hAnsiTheme="majorBidi" w:cstheme="majorBidi"/>
          <w:sz w:val="28"/>
          <w:szCs w:val="28"/>
          <w:lang w:bidi="ar-EG"/>
        </w:rPr>
        <w:t>pregnancy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881117">
        <w:rPr>
          <w:rFonts w:asciiTheme="majorBidi" w:hAnsiTheme="majorBidi" w:cstheme="majorBidi"/>
          <w:sz w:val="28"/>
          <w:szCs w:val="28"/>
          <w:lang w:bidi="ar-EG"/>
        </w:rPr>
        <w:t>associated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plasma </w:t>
      </w:r>
      <w:r w:rsidR="00881117">
        <w:rPr>
          <w:rFonts w:asciiTheme="majorBidi" w:hAnsiTheme="majorBidi" w:cstheme="majorBidi"/>
          <w:sz w:val="28"/>
          <w:szCs w:val="28"/>
          <w:lang w:bidi="ar-EG"/>
        </w:rPr>
        <w:t>protein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and uterine artery </w:t>
      </w:r>
      <w:r w:rsidR="00881117">
        <w:rPr>
          <w:rFonts w:asciiTheme="majorBidi" w:hAnsiTheme="majorBidi" w:cstheme="majorBidi"/>
          <w:sz w:val="28"/>
          <w:szCs w:val="28"/>
          <w:lang w:bidi="ar-EG"/>
        </w:rPr>
        <w:t>Doppler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as predictors of </w:t>
      </w:r>
      <w:r w:rsidR="00881117">
        <w:rPr>
          <w:rFonts w:asciiTheme="majorBidi" w:hAnsiTheme="majorBidi" w:cstheme="majorBidi"/>
          <w:sz w:val="28"/>
          <w:szCs w:val="28"/>
          <w:lang w:bidi="ar-EG"/>
        </w:rPr>
        <w:t>preeclampsia. However,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more studies devoted to identify robust serum markers and sonographic tools with potential additive effects when combined are </w:t>
      </w:r>
      <w:r w:rsidR="00881117">
        <w:rPr>
          <w:rFonts w:asciiTheme="majorBidi" w:hAnsiTheme="majorBidi" w:cstheme="majorBidi"/>
          <w:sz w:val="28"/>
          <w:szCs w:val="28"/>
          <w:lang w:bidi="ar-EG"/>
        </w:rPr>
        <w:t>needed.</w:t>
      </w:r>
    </w:p>
    <w:sectPr w:rsidR="00B65819" w:rsidRPr="00B6008B" w:rsidSect="00903E24">
      <w:pgSz w:w="11906" w:h="16838"/>
      <w:pgMar w:top="1440" w:right="1800" w:bottom="1440" w:left="1800" w:header="708" w:footer="708" w:gutter="0"/>
      <w:pgNumType w:start="6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C198D"/>
    <w:rsid w:val="00576532"/>
    <w:rsid w:val="006C198D"/>
    <w:rsid w:val="006F2837"/>
    <w:rsid w:val="00700E6A"/>
    <w:rsid w:val="00881117"/>
    <w:rsid w:val="00903E24"/>
    <w:rsid w:val="00B6008B"/>
    <w:rsid w:val="00B6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Roqia</dc:creator>
  <cp:keywords/>
  <dc:description/>
  <cp:lastModifiedBy>Roqia</cp:lastModifiedBy>
  <cp:revision>7</cp:revision>
  <dcterms:created xsi:type="dcterms:W3CDTF">2019-11-30T09:38:00Z</dcterms:created>
  <dcterms:modified xsi:type="dcterms:W3CDTF">2020-01-22T21:30:00Z</dcterms:modified>
</cp:coreProperties>
</file>